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EEE1" w14:textId="77777777" w:rsidR="00641525" w:rsidRPr="008C0C93" w:rsidRDefault="00641525" w:rsidP="00641525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:u w:val="single"/>
        </w:rPr>
      </w:pPr>
      <w:r w:rsidRPr="00A60400">
        <w:rPr>
          <w:rFonts w:ascii="Arial" w:hAnsi="Arial" w:cs="Arial"/>
          <w:b/>
          <w:bCs/>
          <w:kern w:val="36"/>
          <w:sz w:val="32"/>
          <w:szCs w:val="32"/>
          <w:u w:val="single"/>
        </w:rPr>
        <w:t>The Health Triangle PCN- Frailty Nurse Job Description</w:t>
      </w:r>
    </w:p>
    <w:p w14:paraId="087EFF44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Job Title</w:t>
      </w:r>
    </w:p>
    <w:p w14:paraId="0B1378CC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Frailty Nurse</w:t>
      </w:r>
    </w:p>
    <w:p w14:paraId="050DDA38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Employer</w:t>
      </w:r>
    </w:p>
    <w:p w14:paraId="7F793AFB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Health Triangle Primary Care Network</w:t>
      </w:r>
    </w:p>
    <w:p w14:paraId="68D8A891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Practices</w:t>
      </w:r>
    </w:p>
    <w:p w14:paraId="5AC7A667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Ringmead Medical Group, Evergreen</w:t>
      </w:r>
      <w:r>
        <w:rPr>
          <w:rFonts w:ascii="Arial" w:hAnsi="Arial" w:cs="Arial"/>
        </w:rPr>
        <w:t xml:space="preserve"> Surgery</w:t>
      </w:r>
      <w:r w:rsidRPr="008C0C93">
        <w:rPr>
          <w:rFonts w:ascii="Arial" w:hAnsi="Arial" w:cs="Arial"/>
        </w:rPr>
        <w:t xml:space="preserve">, </w:t>
      </w:r>
      <w:proofErr w:type="spellStart"/>
      <w:r w:rsidRPr="008C0C93">
        <w:rPr>
          <w:rFonts w:ascii="Arial" w:hAnsi="Arial" w:cs="Arial"/>
        </w:rPr>
        <w:t>Crownwood</w:t>
      </w:r>
      <w:proofErr w:type="spellEnd"/>
      <w:r>
        <w:rPr>
          <w:rFonts w:ascii="Arial" w:hAnsi="Arial" w:cs="Arial"/>
        </w:rPr>
        <w:t xml:space="preserve"> Medical Practice</w:t>
      </w:r>
    </w:p>
    <w:p w14:paraId="3847B48E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Reports To</w:t>
      </w:r>
    </w:p>
    <w:p w14:paraId="31E67E15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Clinical: Frailty Lead GP</w:t>
      </w:r>
    </w:p>
    <w:p w14:paraId="727FC4F1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Administration: PCN Manager</w:t>
      </w:r>
    </w:p>
    <w:p w14:paraId="2AB33F2C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Job Purpose</w:t>
      </w:r>
    </w:p>
    <w:p w14:paraId="398B4AEF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The Frailty Nurse will play a central role in delivering high-quality, proactive, and patient-centred care to frail, elderly and housebound patients across Health Triangle PCN.</w:t>
      </w:r>
    </w:p>
    <w:p w14:paraId="2FC68566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 xml:space="preserve">The core focus of the role is the delivery of structured care home ward rounds and proactive clinical oversight across </w:t>
      </w:r>
      <w:r>
        <w:rPr>
          <w:rFonts w:ascii="Arial" w:hAnsi="Arial" w:cs="Arial"/>
        </w:rPr>
        <w:t>the care</w:t>
      </w:r>
      <w:r w:rsidRPr="008C0C93">
        <w:rPr>
          <w:rFonts w:ascii="Arial" w:hAnsi="Arial" w:cs="Arial"/>
        </w:rPr>
        <w:t xml:space="preserve"> homes within the PCN. The post holder will also support frailty reviews within practice, undertake home visits where appropriate, and provide remote consultations.</w:t>
      </w:r>
    </w:p>
    <w:p w14:paraId="6DF853F9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The role aims to improve outcomes for frail patients, reduce avoidable hospital admissions, optimise long-term condition management, and support quality improvement across the network.</w:t>
      </w:r>
    </w:p>
    <w:p w14:paraId="6ABA60F4" w14:textId="77777777" w:rsidR="00641525" w:rsidRPr="008C0C93" w:rsidRDefault="00641525" w:rsidP="0064152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  <w:r w:rsidRPr="008C0C93">
        <w:rPr>
          <w:rFonts w:ascii="Arial" w:hAnsi="Arial" w:cs="Arial"/>
          <w:b/>
          <w:bCs/>
          <w:kern w:val="36"/>
          <w:sz w:val="36"/>
          <w:szCs w:val="36"/>
        </w:rPr>
        <w:t>Key Responsibilities</w:t>
      </w:r>
    </w:p>
    <w:p w14:paraId="0B266741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36"/>
          <w:szCs w:val="36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1. Clinical Responsibilities</w:t>
      </w:r>
    </w:p>
    <w:p w14:paraId="5B53F0B1" w14:textId="77777777" w:rsidR="00641525" w:rsidRPr="008C0C93" w:rsidRDefault="00641525" w:rsidP="00641525">
      <w:p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The post holder will:</w:t>
      </w:r>
    </w:p>
    <w:p w14:paraId="3E45AC77" w14:textId="77777777" w:rsidR="00641525" w:rsidRPr="008C0C93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Undertake comprehensive history taking and physical assessment</w:t>
      </w:r>
    </w:p>
    <w:p w14:paraId="11F615DE" w14:textId="77777777" w:rsidR="00641525" w:rsidRPr="008C0C93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Diagnose and manage acute and chronic conditions within scope of practice</w:t>
      </w:r>
    </w:p>
    <w:p w14:paraId="28B1A7D0" w14:textId="77777777" w:rsidR="00641525" w:rsidRPr="008C0C93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Conduct regular, structured care home ward rounds (primary component of role)</w:t>
      </w:r>
    </w:p>
    <w:p w14:paraId="427F98F3" w14:textId="77777777" w:rsidR="00641525" w:rsidRPr="008C0C93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Review new care home residents</w:t>
      </w:r>
    </w:p>
    <w:p w14:paraId="341B7992" w14:textId="77777777" w:rsidR="00641525" w:rsidRPr="008C0C93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Manage acute presentations within care homes</w:t>
      </w:r>
    </w:p>
    <w:p w14:paraId="1D13A0F8" w14:textId="77777777" w:rsidR="00641525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Lead long-term condition management for frail and elderly patients</w:t>
      </w:r>
    </w:p>
    <w:p w14:paraId="15131626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lastRenderedPageBreak/>
        <w:t>Ensure that all eligible residents in aligned care homes are identified and offered both seasonal and routine vaccinations</w:t>
      </w:r>
    </w:p>
    <w:p w14:paraId="1845714B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Contribute to anticipatory care planning and personalised care discussions</w:t>
      </w:r>
    </w:p>
    <w:p w14:paraId="3B181AA5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Provide remote consultations where clinically appropriate</w:t>
      </w:r>
    </w:p>
    <w:p w14:paraId="26C301F6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Deliver in-practice frailty reviews for patients attending appointments</w:t>
      </w:r>
    </w:p>
    <w:p w14:paraId="222F01ED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Recognise professional limitations and escalate appropriately to GP or MDT colleagues</w:t>
      </w:r>
    </w:p>
    <w:p w14:paraId="0069A67C" w14:textId="77777777" w:rsidR="00641525" w:rsidRPr="00FF2A00" w:rsidRDefault="00641525" w:rsidP="0064152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Maintain accurate, contemporaneous and high-quality clinical records in GP clinical system</w:t>
      </w:r>
    </w:p>
    <w:p w14:paraId="70249E2A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2. Care Home &amp; Frailty Service Delivery</w:t>
      </w:r>
    </w:p>
    <w:p w14:paraId="47D49729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Provide consistent clinical oversight to PCN care homes</w:t>
      </w:r>
    </w:p>
    <w:p w14:paraId="41B7E952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Build effective working relationships with care home staff</w:t>
      </w:r>
    </w:p>
    <w:p w14:paraId="477EB812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Ensure medical queries are reviewed promptly and safely</w:t>
      </w:r>
    </w:p>
    <w:p w14:paraId="636856BD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Support safe medicines optimisation in collaboration with pharmacists and GPs</w:t>
      </w:r>
    </w:p>
    <w:p w14:paraId="34D48673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Contribute to reducing avoidable admissions and improving continuity of care</w:t>
      </w:r>
    </w:p>
    <w:p w14:paraId="5836B1EF" w14:textId="77777777" w:rsidR="00641525" w:rsidRPr="008C0C93" w:rsidRDefault="00641525" w:rsidP="006415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Participate in service development and refinement of frailty pathways</w:t>
      </w:r>
    </w:p>
    <w:p w14:paraId="4554F497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3. QOF &amp; Quality Improvement</w:t>
      </w:r>
    </w:p>
    <w:p w14:paraId="67382BBB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</w:rPr>
      </w:pPr>
      <w:r w:rsidRPr="008C0C93">
        <w:rPr>
          <w:rFonts w:ascii="Arial" w:hAnsi="Arial" w:cs="Arial"/>
        </w:rPr>
        <w:t>The Frailty Nurse will:</w:t>
      </w:r>
    </w:p>
    <w:p w14:paraId="70F28DD5" w14:textId="77777777" w:rsidR="00641525" w:rsidRPr="008C0C93" w:rsidRDefault="00641525" w:rsidP="006415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Support QOF-related work for care home patients</w:t>
      </w:r>
    </w:p>
    <w:p w14:paraId="2438099C" w14:textId="77777777" w:rsidR="00641525" w:rsidRPr="008C0C93" w:rsidRDefault="00641525" w:rsidP="006415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Contribute to chronic disease reviews and monitoring</w:t>
      </w:r>
    </w:p>
    <w:p w14:paraId="14D56870" w14:textId="77777777" w:rsidR="00641525" w:rsidRPr="008C0C93" w:rsidRDefault="00641525" w:rsidP="006415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Ensure accurate clinical coding and documentation</w:t>
      </w:r>
    </w:p>
    <w:p w14:paraId="5A143E18" w14:textId="77777777" w:rsidR="00641525" w:rsidRPr="008C0C93" w:rsidRDefault="00641525" w:rsidP="006415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Participate in audit and quality improvement initiatives</w:t>
      </w:r>
    </w:p>
    <w:p w14:paraId="559EFB67" w14:textId="77777777" w:rsidR="00641525" w:rsidRPr="008C0C93" w:rsidRDefault="00641525" w:rsidP="00641525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Contribute to governance discussions and service evaluation</w:t>
      </w:r>
    </w:p>
    <w:p w14:paraId="4F1F92B5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4. Multidisciplinary Working</w:t>
      </w:r>
    </w:p>
    <w:p w14:paraId="094C0000" w14:textId="77777777" w:rsidR="00641525" w:rsidRPr="008C0C93" w:rsidRDefault="00641525" w:rsidP="0064152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Work collaboratively within a comprehensive and well-established MDT</w:t>
      </w:r>
    </w:p>
    <w:p w14:paraId="43A8B619" w14:textId="77777777" w:rsidR="00641525" w:rsidRDefault="00641525" w:rsidP="0064152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Liaise closely with the Frailty &amp; Care Home Lead GP</w:t>
      </w:r>
      <w:r>
        <w:rPr>
          <w:rFonts w:ascii="Arial" w:hAnsi="Arial" w:cs="Arial"/>
        </w:rPr>
        <w:t>s</w:t>
      </w:r>
    </w:p>
    <w:p w14:paraId="3A5EBC77" w14:textId="77777777" w:rsidR="00641525" w:rsidRPr="00FF2A00" w:rsidRDefault="00641525" w:rsidP="0064152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 xml:space="preserve">Attend regular MDT meetings </w:t>
      </w:r>
    </w:p>
    <w:p w14:paraId="5F7103D6" w14:textId="77777777" w:rsidR="00641525" w:rsidRPr="008C0C93" w:rsidRDefault="00641525" w:rsidP="0064152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Participate in clinical governance and educational meetings</w:t>
      </w:r>
    </w:p>
    <w:p w14:paraId="0DAD0415" w14:textId="77777777" w:rsidR="00641525" w:rsidRPr="008C0C93" w:rsidRDefault="00641525" w:rsidP="0064152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Contribute to coordinated, team-based patient care</w:t>
      </w:r>
    </w:p>
    <w:p w14:paraId="41825D37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5. Professional Responsibilities</w:t>
      </w:r>
    </w:p>
    <w:p w14:paraId="413EDAAD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Maintain active NMC registration</w:t>
      </w:r>
    </w:p>
    <w:p w14:paraId="2357F491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Work within professional scope of practice and competencies</w:t>
      </w:r>
    </w:p>
    <w:p w14:paraId="004E30BA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Demonstrate safe, evidence-based clinical decision-making</w:t>
      </w:r>
    </w:p>
    <w:p w14:paraId="52AFFF13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Engage in continuous professional development</w:t>
      </w:r>
    </w:p>
    <w:p w14:paraId="44D95BE3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Maintain revalidation requirements</w:t>
      </w:r>
    </w:p>
    <w:p w14:paraId="61A6EF7A" w14:textId="77777777" w:rsidR="00641525" w:rsidRPr="008C0C93" w:rsidRDefault="00641525" w:rsidP="0064152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Uphold confidentiality, safeguarding and data protection standards</w:t>
      </w:r>
    </w:p>
    <w:p w14:paraId="5C3DF742" w14:textId="77777777" w:rsidR="00641525" w:rsidRPr="008C0C93" w:rsidRDefault="00641525" w:rsidP="0064152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  <w:r w:rsidRPr="008C0C93">
        <w:rPr>
          <w:rFonts w:ascii="Arial" w:hAnsi="Arial" w:cs="Arial"/>
          <w:b/>
          <w:bCs/>
          <w:kern w:val="36"/>
          <w:sz w:val="36"/>
          <w:szCs w:val="36"/>
        </w:rPr>
        <w:t>Person Specification</w:t>
      </w:r>
    </w:p>
    <w:p w14:paraId="504373F2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Essential</w:t>
      </w:r>
    </w:p>
    <w:p w14:paraId="46C3E401" w14:textId="77777777" w:rsidR="00641525" w:rsidRPr="008C0C93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Registered Nurse (NMC)</w:t>
      </w:r>
    </w:p>
    <w:p w14:paraId="640ED314" w14:textId="77777777" w:rsidR="00641525" w:rsidRPr="008C0C93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Experience managing frail, elderly or housebound patients</w:t>
      </w:r>
    </w:p>
    <w:p w14:paraId="27C48281" w14:textId="77777777" w:rsidR="00641525" w:rsidRPr="008C0C93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Strong clinical assessment and diagnostic skills</w:t>
      </w:r>
    </w:p>
    <w:p w14:paraId="38CF5958" w14:textId="77777777" w:rsidR="00641525" w:rsidRPr="008C0C93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Ability to work autonomously and within a team</w:t>
      </w:r>
    </w:p>
    <w:p w14:paraId="05A34D94" w14:textId="77777777" w:rsidR="00641525" w:rsidRPr="008C0C93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Excellent communication and interpersonal skills</w:t>
      </w:r>
    </w:p>
    <w:p w14:paraId="64E3DA9D" w14:textId="77777777" w:rsidR="00641525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Ability to prioritise, triage and make safe clinical decisions</w:t>
      </w:r>
    </w:p>
    <w:p w14:paraId="1446AD8D" w14:textId="77777777" w:rsidR="00641525" w:rsidRPr="00FF2A00" w:rsidRDefault="00641525" w:rsidP="00641525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F2A00">
        <w:rPr>
          <w:rFonts w:ascii="Arial" w:hAnsi="Arial" w:cs="Arial"/>
        </w:rPr>
        <w:t>Access to car and clean driving license</w:t>
      </w:r>
    </w:p>
    <w:p w14:paraId="767CBF01" w14:textId="77777777" w:rsidR="00641525" w:rsidRPr="008C0C93" w:rsidRDefault="00641525" w:rsidP="006415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8C0C93">
        <w:rPr>
          <w:rFonts w:ascii="Arial" w:hAnsi="Arial" w:cs="Arial"/>
          <w:b/>
          <w:bCs/>
          <w:i/>
          <w:iCs/>
          <w:sz w:val="28"/>
          <w:szCs w:val="28"/>
        </w:rPr>
        <w:t>Desirable</w:t>
      </w:r>
    </w:p>
    <w:p w14:paraId="2AB87FD4" w14:textId="77777777" w:rsidR="00641525" w:rsidRPr="008C0C93" w:rsidRDefault="00641525" w:rsidP="0064152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Non-Medical Prescribing qualification</w:t>
      </w:r>
    </w:p>
    <w:p w14:paraId="030CA23D" w14:textId="77777777" w:rsidR="00641525" w:rsidRPr="008C0C93" w:rsidRDefault="00641525" w:rsidP="0064152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Experience working in primary care and/or care home settings</w:t>
      </w:r>
    </w:p>
    <w:p w14:paraId="16B8B6CF" w14:textId="77777777" w:rsidR="00641525" w:rsidRPr="008C0C93" w:rsidRDefault="00641525" w:rsidP="0064152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Experience contributing to QOF achievement</w:t>
      </w:r>
    </w:p>
    <w:p w14:paraId="4749E2F7" w14:textId="77777777" w:rsidR="00641525" w:rsidRDefault="00641525" w:rsidP="0064152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Experience participating in MDT working</w:t>
      </w:r>
    </w:p>
    <w:p w14:paraId="7894FE4F" w14:textId="77777777" w:rsidR="00641525" w:rsidRDefault="00641525" w:rsidP="0064152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Experience using EMIS Web clinical system</w:t>
      </w:r>
    </w:p>
    <w:p w14:paraId="06ED2213" w14:textId="77777777" w:rsidR="00641525" w:rsidRPr="008C0C93" w:rsidRDefault="00641525" w:rsidP="0064152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  <w:r w:rsidRPr="008C0C93">
        <w:rPr>
          <w:rFonts w:ascii="Arial" w:hAnsi="Arial" w:cs="Arial"/>
          <w:b/>
          <w:bCs/>
          <w:kern w:val="36"/>
          <w:sz w:val="36"/>
          <w:szCs w:val="36"/>
        </w:rPr>
        <w:t>Terms &amp; Benefits</w:t>
      </w:r>
    </w:p>
    <w:p w14:paraId="5240F2AA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0.75 WTE (approximately 28–30 hours per week)</w:t>
      </w:r>
    </w:p>
    <w:p w14:paraId="20AA53B4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Competitive salary (pro rata)</w:t>
      </w:r>
    </w:p>
    <w:p w14:paraId="4159E21A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Private healthcare scheme</w:t>
      </w:r>
    </w:p>
    <w:p w14:paraId="3043E4C0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Birthday day off in addition to annual leave entitlement</w:t>
      </w:r>
    </w:p>
    <w:p w14:paraId="37AB6368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Supportive and forward-thinking working environment</w:t>
      </w:r>
    </w:p>
    <w:p w14:paraId="45115576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Strong clinical mentorship and MDT support</w:t>
      </w:r>
    </w:p>
    <w:p w14:paraId="4508710D" w14:textId="77777777" w:rsidR="00641525" w:rsidRPr="008C0C93" w:rsidRDefault="00641525" w:rsidP="0064152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8C0C93">
        <w:rPr>
          <w:rFonts w:ascii="Arial" w:hAnsi="Arial" w:cs="Arial"/>
        </w:rPr>
        <w:t>Opportunities for service development and innovation</w:t>
      </w:r>
    </w:p>
    <w:p w14:paraId="54491C84" w14:textId="77777777" w:rsidR="00641525" w:rsidRDefault="00641525"/>
    <w:sectPr w:rsidR="0064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098"/>
    <w:multiLevelType w:val="multilevel"/>
    <w:tmpl w:val="E478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44845"/>
    <w:multiLevelType w:val="multilevel"/>
    <w:tmpl w:val="7B5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14930"/>
    <w:multiLevelType w:val="multilevel"/>
    <w:tmpl w:val="0CD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128D6"/>
    <w:multiLevelType w:val="multilevel"/>
    <w:tmpl w:val="C2F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66DBC"/>
    <w:multiLevelType w:val="multilevel"/>
    <w:tmpl w:val="08B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27872"/>
    <w:multiLevelType w:val="multilevel"/>
    <w:tmpl w:val="ED96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A28D3"/>
    <w:multiLevelType w:val="multilevel"/>
    <w:tmpl w:val="D4AA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E7485"/>
    <w:multiLevelType w:val="multilevel"/>
    <w:tmpl w:val="EB4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91608">
    <w:abstractNumId w:val="6"/>
  </w:num>
  <w:num w:numId="2" w16cid:durableId="269362157">
    <w:abstractNumId w:val="4"/>
  </w:num>
  <w:num w:numId="3" w16cid:durableId="1651522921">
    <w:abstractNumId w:val="1"/>
  </w:num>
  <w:num w:numId="4" w16cid:durableId="738132158">
    <w:abstractNumId w:val="2"/>
  </w:num>
  <w:num w:numId="5" w16cid:durableId="613489363">
    <w:abstractNumId w:val="0"/>
  </w:num>
  <w:num w:numId="6" w16cid:durableId="1458186865">
    <w:abstractNumId w:val="7"/>
  </w:num>
  <w:num w:numId="7" w16cid:durableId="1723019464">
    <w:abstractNumId w:val="3"/>
  </w:num>
  <w:num w:numId="8" w16cid:durableId="425535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25"/>
    <w:rsid w:val="00641525"/>
    <w:rsid w:val="007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BC33"/>
  <w15:chartTrackingRefBased/>
  <w15:docId w15:val="{CBF3B409-D4E0-478F-9853-D3465549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2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5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5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5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5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2026-03-03T10:09:00Z</dcterms:created>
  <dcterms:modified xsi:type="dcterms:W3CDTF">2026-03-03T10:09:00Z</dcterms:modified>
</cp:coreProperties>
</file>